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adjustRightInd w:val="0"/>
        <w:snapToGrid w:val="0"/>
        <w:spacing w:line="560" w:lineRule="exact"/>
        <w:rPr>
          <w:rFonts w:ascii="仿宋_GB2312" w:hAnsi="黑体" w:eastAsia="仿宋_GB2312" w:cs="黑体"/>
          <w:color w:val="000000"/>
          <w:sz w:val="32"/>
          <w:szCs w:val="32"/>
        </w:rPr>
      </w:pPr>
      <w:bookmarkStart w:id="0" w:name="_Hlk54466636"/>
      <w:r>
        <w:rPr>
          <w:rFonts w:hint="eastAsia" w:ascii="仿宋_GB2312" w:hAnsi="黑体" w:eastAsia="仿宋_GB2312" w:cs="黑体"/>
          <w:sz w:val="32"/>
          <w:szCs w:val="32"/>
        </w:rPr>
        <w:t>附件1</w:t>
      </w:r>
    </w:p>
    <w:p>
      <w:pPr>
        <w:topLinePunct/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兰州大学本科毕业论文（设计）“文字</w:t>
      </w:r>
    </w:p>
    <w:p>
      <w:pPr>
        <w:topLinePunct/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复制比”检测及处理实施细则</w:t>
      </w:r>
    </w:p>
    <w:bookmarkEnd w:id="0"/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第一章  总  则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第一条</w:t>
      </w: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为维护学术道德和学术规范的严肃性，加强学术诚信教育和学风建设，营造学术诚信氛围，规范本科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毕业论文（设计）管理，防范和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毕业论文（设计）学术不端行为发生，特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制定本办法。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宋体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第二条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学校坚持加强对毕业论文</w:t>
      </w:r>
      <w:bookmarkStart w:id="1" w:name="_Hlk53823675"/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bookmarkEnd w:id="1"/>
      <w:r>
        <w:rPr>
          <w:rFonts w:hint="eastAsia" w:ascii="仿宋_GB2312" w:hAnsi="仿宋" w:eastAsia="仿宋_GB2312"/>
          <w:sz w:val="32"/>
          <w:szCs w:val="32"/>
          <w:lang w:val="zh-CN"/>
        </w:rPr>
        <w:t>进行“文字复制比”检测（以下简称“毕业论文检测”），严防学术不端，严肃处理学术不端行为。</w:t>
      </w:r>
    </w:p>
    <w:p>
      <w:pPr>
        <w:topLinePunct/>
        <w:adjustRightInd w:val="0"/>
        <w:snapToGrid w:val="0"/>
        <w:spacing w:line="540" w:lineRule="exact"/>
        <w:ind w:firstLine="643" w:firstLineChars="200"/>
        <w:jc w:val="both"/>
        <w:rPr>
          <w:rFonts w:ascii="仿宋_GB2312" w:eastAsia="仿宋_GB2312"/>
          <w:sz w:val="32"/>
          <w:szCs w:val="32"/>
          <w:highlight w:val="yellow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第三条</w:t>
      </w: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本办法中“文字复制比”检测对象为</w:t>
      </w:r>
      <w:r>
        <w:rPr>
          <w:rFonts w:hint="eastAsia" w:ascii="仿宋_GB2312" w:hAnsi="仿宋_GB2312" w:eastAsia="仿宋_GB2312" w:cs="仿宋_GB2312"/>
          <w:sz w:val="32"/>
          <w:szCs w:val="32"/>
        </w:rPr>
        <w:t>全日制本科专业人才培养方案要求的主修和辅修本科专业、学士学位的毕业论文（设计）、学位论文。</w:t>
      </w:r>
    </w:p>
    <w:p>
      <w:pPr>
        <w:adjustRightInd w:val="0"/>
        <w:snapToGrid w:val="0"/>
        <w:spacing w:line="540" w:lineRule="exact"/>
        <w:ind w:firstLine="66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第四条</w:t>
      </w:r>
      <w:r>
        <w:rPr>
          <w:rFonts w:ascii="仿宋_GB2312" w:hAnsi="仿宋" w:eastAsia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学术不端行为按照兰州大学学位论文作假行为处理办法实施细则、本科生学籍管理办法等有关规定处理。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第二章  毕业论文（设计）检测标准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第五条</w:t>
      </w: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毕业论文检测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要求：</w:t>
      </w:r>
    </w:p>
    <w:p>
      <w:pPr>
        <w:adjustRightInd w:val="0"/>
        <w:snapToGrid w:val="0"/>
        <w:spacing w:line="540" w:lineRule="exact"/>
        <w:ind w:firstLine="660"/>
        <w:jc w:val="both"/>
        <w:rPr>
          <w:rFonts w:ascii="仿宋_GB2312" w:hAnsi="仿宋" w:eastAsia="仿宋_GB2312"/>
          <w:sz w:val="32"/>
          <w:szCs w:val="32"/>
          <w:lang w:val="zh-CN"/>
        </w:rPr>
      </w:pPr>
      <w:r>
        <w:rPr>
          <w:rFonts w:hint="eastAsia" w:ascii="仿宋_GB2312" w:hAnsi="仿宋" w:eastAsia="仿宋_GB2312"/>
          <w:sz w:val="32"/>
          <w:szCs w:val="32"/>
          <w:lang w:val="zh-CN"/>
        </w:rPr>
        <w:t>（一）毕业论文（设计）检测分为答辩前检测和答辩后检测。</w:t>
      </w:r>
    </w:p>
    <w:p>
      <w:pPr>
        <w:adjustRightInd w:val="0"/>
        <w:snapToGrid w:val="0"/>
        <w:spacing w:line="540" w:lineRule="exact"/>
        <w:ind w:firstLine="66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检测内容主要为毕业论文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的主体部分，即删除毕业论文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的封面、诚信责任书、使用授权声明、参考文献、附录、致谢后的论文部分。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（三）提交检测的毕业论文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应为WORD或PDF格式文件，命名格式：学院名称_学号_作者姓名。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（四）学院须对检测的毕业论文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进行形式审查，为语句通顺、结构完整、格式规范的毕业论文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第六条</w:t>
      </w:r>
      <w:r>
        <w:rPr>
          <w:rFonts w:hint="eastAsia" w:ascii="仿宋_GB2312" w:hAnsi="楷体_GB2312" w:eastAsia="仿宋_GB2312" w:cs="楷体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毕业论文检测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标准：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文字复制比例检测标准（以下简称“检测标准”）包括答辩前检测标准和答辩后检测标准。设定P和F两个数值作为检测的判断标准，按如下流程和规则处理。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答辩前第1次检测：</w:t>
      </w:r>
    </w:p>
    <w:tbl>
      <w:tblPr>
        <w:tblStyle w:val="7"/>
        <w:tblpPr w:leftFromText="45" w:rightFromText="45" w:vertAnchor="text" w:tblpXSpec="center"/>
        <w:tblW w:w="844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0"/>
        <w:gridCol w:w="2418"/>
        <w:gridCol w:w="354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检测比例</w:t>
            </w:r>
          </w:p>
        </w:tc>
        <w:tc>
          <w:tcPr>
            <w:tcW w:w="2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检测结果</w:t>
            </w:r>
          </w:p>
        </w:tc>
        <w:tc>
          <w:tcPr>
            <w:tcW w:w="35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N≤P%</w:t>
            </w:r>
          </w:p>
        </w:tc>
        <w:tc>
          <w:tcPr>
            <w:tcW w:w="2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通过</w:t>
            </w:r>
          </w:p>
        </w:tc>
        <w:tc>
          <w:tcPr>
            <w:tcW w:w="35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P%&lt;N≤F%</w:t>
            </w:r>
          </w:p>
        </w:tc>
        <w:tc>
          <w:tcPr>
            <w:tcW w:w="2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暂缓通过</w:t>
            </w:r>
          </w:p>
        </w:tc>
        <w:tc>
          <w:tcPr>
            <w:tcW w:w="35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可申请第2次检测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4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N&gt;F%</w:t>
            </w:r>
          </w:p>
        </w:tc>
        <w:tc>
          <w:tcPr>
            <w:tcW w:w="24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不通过</w:t>
            </w:r>
          </w:p>
        </w:tc>
        <w:tc>
          <w:tcPr>
            <w:tcW w:w="35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答辩前第2次检测：</w:t>
      </w:r>
    </w:p>
    <w:tbl>
      <w:tblPr>
        <w:tblStyle w:val="8"/>
        <w:tblW w:w="8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3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2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检测比例</w:t>
            </w:r>
          </w:p>
        </w:tc>
        <w:tc>
          <w:tcPr>
            <w:tcW w:w="421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2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N≤P%</w:t>
            </w:r>
          </w:p>
        </w:tc>
        <w:tc>
          <w:tcPr>
            <w:tcW w:w="421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428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N&gt;P%</w:t>
            </w:r>
          </w:p>
        </w:tc>
        <w:tc>
          <w:tcPr>
            <w:tcW w:w="421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不通过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答辩后检测：</w:t>
      </w:r>
    </w:p>
    <w:tbl>
      <w:tblPr>
        <w:tblStyle w:val="8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8"/>
        <w:gridCol w:w="4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23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检测比例</w:t>
            </w:r>
          </w:p>
        </w:tc>
        <w:tc>
          <w:tcPr>
            <w:tcW w:w="415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23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N≤P%</w:t>
            </w:r>
          </w:p>
        </w:tc>
        <w:tc>
          <w:tcPr>
            <w:tcW w:w="415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4238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N&gt;P%</w:t>
            </w:r>
          </w:p>
        </w:tc>
        <w:tc>
          <w:tcPr>
            <w:tcW w:w="4153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不通过</w:t>
            </w:r>
          </w:p>
        </w:tc>
      </w:tr>
    </w:tbl>
    <w:p>
      <w:pPr>
        <w:shd w:val="clear" w:color="auto" w:fill="FFFFFF"/>
        <w:adjustRightInd w:val="0"/>
        <w:snapToGrid w:val="0"/>
        <w:spacing w:line="560" w:lineRule="exac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注：N为毕业论文（设计）文字复制比例。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（二）学院（含研究院等教学单位，以下统称学院）根据自身专业特点制定检测标准P和F数值，检测标准须分别经学院教学指导分委员会和党政联席会讨论确定，学院制定的检测标准是毕业论文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检测是否通过的唯一依据。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检测结果依据为“去除本人已发表文献复制比”，即被检测毕业论文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去除本人以第一作者（或指导教师第一作者，本人第二作者）发表学术成果的文字重合字数后占毕业论文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检测内容的百分比。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（四）学院应及时将毕业论文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检测标准及相关规定告知学生和指导教师。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第三章  组织实施及职责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楷体_GB2312" w:eastAsia="仿宋_GB2312" w:cs="楷体_GB2312"/>
          <w:b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第七条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答辩前检测的范围为所有申请毕业论文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评阅和答辩的学生得毕业论文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，答辩后检测的范围为所有答辩通过的学生得毕业论文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第八条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 xml:space="preserve"> 答辩前毕业论文（设计）检测：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（一）答辩前检测工作由学院负责，教务处为学院设立分账户，根据毕业论文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数分配检测篇数。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（二）学院应指定专人负责本单位毕业论文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检测工作。负责检测的工作人员应保证分账户的安全，严格执行学校相关规定，不得对本单位以外或其他不相关的论文进行检测。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（三）学生提交毕业论文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检测前，须经指导教师审核签字同意。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答辩后毕业论文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检测：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（一）答辩后毕业论文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检测工作由教务处统筹负责。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（二）学生提交毕业论文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检测前，须经指导教师审核签字同意，并保证提交的毕业论文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电子版本与纸质版本一致。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（三）学生须在规定时间内向图书馆、档案馆及教务管理系统提交最终版本的毕业论文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电子版。无故逾期不提交毕业论文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者，其毕业论文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成绩无效。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第四章 毕业论文（设计）检测结果及处理办法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第十条 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答辩前毕业论文（设计）检测处理办法：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检测结果为“通过”的，学生可直接参加毕业论文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评阅及答辩。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检测结果为“不通过”或故意规避毕业论文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检测的，学生须对毕业论文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进行认真、必要的修改，下学期方可提出毕业论文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评阅和答辩申请。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（三）每篇毕业论文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最多有2次检测机会。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楷体_GB2312" w:eastAsia="仿宋_GB2312" w:cs="楷体_GB2312"/>
          <w:bCs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第十一条 </w:t>
      </w:r>
      <w:r>
        <w:rPr>
          <w:rFonts w:hint="eastAsia" w:ascii="仿宋_GB2312" w:hAnsi="楷体_GB2312" w:eastAsia="仿宋_GB2312" w:cs="楷体_GB2312"/>
          <w:bCs/>
          <w:sz w:val="32"/>
          <w:szCs w:val="32"/>
        </w:rPr>
        <w:t>答辩后毕业论文（设计）检测处理办法：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检测结果为“通过”的，当次毕业论文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成绩有效。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检测结果为“不通过”的，当次毕业论文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成绩无效，学生须对毕业论文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进行认真、必要的修改，下学期方可提出毕业论文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评阅和答辩申请。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（三）凡故意规避毕业论文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检测或存在学术不端行为的，学校将认定当次毕业论文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成绩无效。情节特别严重的，学校将根据有关规定给予取消毕业资格直至开除学籍处分。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（四）每篇毕业论文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仅有1次检测机会。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第十二条 </w:t>
      </w:r>
      <w:r>
        <w:rPr>
          <w:rFonts w:hint="eastAsia" w:ascii="仿宋_GB2312" w:hAnsi="仿宋_GB2312" w:eastAsia="仿宋_GB2312" w:cs="仿宋_GB2312"/>
          <w:sz w:val="32"/>
          <w:szCs w:val="32"/>
        </w:rPr>
        <w:t>教务处按年度以适当形式在校内公布毕业论文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（设计）“文字复制比”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检测结果。对答辩后毕业论文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检测结果为“不通过”的，按以下方式处理：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（一）质量约谈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当年度出现1%篇及以上毕业论文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检测结果为“不通过”的，或连续两个年度均出现毕业论文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检测结果为“不通过”的，学校约谈所在学院党政负责人及主管领导。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（二）质量告诫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当年度指导教师指导的2篇及以上毕业论文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检测结果为“不通过”的，或连续两个年度均出现毕业论文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检测结果为“不通过”的，学院须对指导教师告诫1次、对专业负责人约谈1次。取消被告诫教师当年度教学类奖项申报和评选资格。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（三）教学考核</w:t>
      </w:r>
    </w:p>
    <w:p>
      <w:pPr>
        <w:adjustRightInd w:val="0"/>
        <w:snapToGrid w:val="0"/>
        <w:spacing w:line="54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学校将检测结果作为考核学院年度目标任务的内容之一。指导教师指导的毕业论文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出现1篇及以上检测结果为“不通过”的，指导教师当年度教学考核结果不能为“优秀”。</w:t>
      </w:r>
    </w:p>
    <w:p>
      <w:pPr>
        <w:adjustRightInd w:val="0"/>
        <w:snapToGrid w:val="0"/>
        <w:spacing w:line="540" w:lineRule="exact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第四章  附  则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第十三条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因提交的毕业论文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版本错误造成毕业论文</w:t>
      </w:r>
      <w:r>
        <w:rPr>
          <w:rFonts w:hint="eastAsia" w:ascii="仿宋_GB2312" w:hAnsi="仿宋" w:eastAsia="仿宋_GB2312"/>
          <w:sz w:val="32"/>
          <w:szCs w:val="32"/>
          <w:lang w:val="zh-CN"/>
        </w:rPr>
        <w:t>（设计）</w:t>
      </w:r>
      <w:r>
        <w:rPr>
          <w:rFonts w:hint="eastAsia" w:ascii="仿宋_GB2312" w:hAnsi="仿宋_GB2312" w:eastAsia="仿宋_GB2312" w:cs="仿宋_GB2312"/>
          <w:sz w:val="32"/>
          <w:szCs w:val="32"/>
        </w:rPr>
        <w:t>检测未“通过”的，责任由学生本人承担。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“文字复制比”检测工作人员必须遵守学校保密规定及其他相关规定，严格遵守回避原则。</w:t>
      </w:r>
    </w:p>
    <w:p>
      <w:pPr>
        <w:adjustRightInd w:val="0"/>
        <w:snapToGrid w:val="0"/>
        <w:spacing w:line="540" w:lineRule="exact"/>
        <w:ind w:firstLine="643" w:firstLineChars="200"/>
        <w:jc w:val="both"/>
      </w:pPr>
      <w:r>
        <w:rPr>
          <w:rFonts w:hint="eastAsia" w:ascii="仿宋_GB2312" w:hAnsi="仿宋" w:eastAsia="仿宋_GB2312"/>
          <w:b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本细则由教务处负责解释，学院可根据本办法制定实施细则。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B5"/>
    <w:rsid w:val="00350D1F"/>
    <w:rsid w:val="0048685D"/>
    <w:rsid w:val="00570898"/>
    <w:rsid w:val="00693A2C"/>
    <w:rsid w:val="006B0FD7"/>
    <w:rsid w:val="00A2402E"/>
    <w:rsid w:val="00AD6623"/>
    <w:rsid w:val="00BA6879"/>
    <w:rsid w:val="00D37AB5"/>
    <w:rsid w:val="00F212D0"/>
    <w:rsid w:val="1530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uiPriority w:val="99"/>
  </w:style>
  <w:style w:type="paragraph" w:styleId="4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8">
    <w:name w:val="Table Grid"/>
    <w:basedOn w:val="7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批注文字 字符"/>
    <w:basedOn w:val="9"/>
    <w:link w:val="3"/>
    <w:semiHidden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批注框文本 字符"/>
    <w:basedOn w:val="9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1831</Words>
  <Characters>10442</Characters>
  <Lines>87</Lines>
  <Paragraphs>24</Paragraphs>
  <TotalTime>37</TotalTime>
  <ScaleCrop>false</ScaleCrop>
  <LinksUpToDate>false</LinksUpToDate>
  <CharactersWithSpaces>12249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2020-11-19T04:35:00Z</dcterms:created>
  <dc:creator>乔振峰</dc:creator>
  <cp:lastModifiedBy>聪聪</cp:lastModifiedBy>
  <dcterms:modified xsi:type="dcterms:W3CDTF">2020-11-30T08:35:26Z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